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崇仁县财政局关于崇仁县职业教育中心高质量班班通、计算机、钢琴等设备采购项目（第二次）投诉处理决定书</w:t>
      </w:r>
    </w:p>
    <w:p>
      <w:pPr>
        <w:widowControl/>
        <w:spacing w:before="100" w:beforeAutospacing="1" w:after="100" w:afterAutospacing="1" w:line="400" w:lineRule="exact"/>
        <w:jc w:val="center"/>
        <w:rPr>
          <w:rFonts w:hint="default" w:eastAsiaTheme="minorEastAsia"/>
          <w:lang w:val="en-US" w:eastAsia="zh-CN"/>
        </w:rPr>
      </w:pPr>
      <w:r>
        <w:rPr>
          <w:rFonts w:hint="eastAsia" w:cs="宋体" w:asciiTheme="minorEastAsia" w:hAnsiTheme="minorEastAsia"/>
          <w:color w:val="333333"/>
          <w:sz w:val="30"/>
          <w:szCs w:val="30"/>
          <w:u w:val="none"/>
          <w:lang w:val="en-US" w:eastAsia="zh-CN"/>
        </w:rPr>
        <w:t>崇财购诉字[2021]2号</w:t>
      </w:r>
    </w:p>
    <w:p>
      <w:p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投诉人：吉安市吉梵科技有限公司</w:t>
      </w:r>
    </w:p>
    <w:p>
      <w:p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法定代表人：付翠</w:t>
      </w:r>
    </w:p>
    <w:p>
      <w:pPr>
        <w:spacing w:line="560" w:lineRule="exact"/>
        <w:ind w:firstLine="600" w:firstLineChars="200"/>
        <w:rPr>
          <w:rFonts w:ascii="仿宋_GB2312" w:hAnsi="Calibri" w:eastAsia="仿宋_GB2312" w:cs="Times New Roman"/>
          <w:sz w:val="30"/>
          <w:szCs w:val="30"/>
        </w:rPr>
      </w:pPr>
      <w:r>
        <w:rPr>
          <w:rFonts w:hint="eastAsia" w:ascii="仿宋_GB2312" w:hAnsi="Calibri" w:eastAsia="仿宋_GB2312" w:cs="Times New Roman"/>
          <w:sz w:val="30"/>
          <w:szCs w:val="30"/>
        </w:rPr>
        <w:t>地址：吉安市吉州区长岗北路附2</w:t>
      </w:r>
      <w:r>
        <w:rPr>
          <w:rFonts w:ascii="仿宋_GB2312" w:hAnsi="Calibri" w:eastAsia="仿宋_GB2312" w:cs="Times New Roman"/>
          <w:sz w:val="30"/>
          <w:szCs w:val="30"/>
        </w:rPr>
        <w:t>4号</w:t>
      </w:r>
      <w:r>
        <w:rPr>
          <w:rFonts w:hint="eastAsia" w:ascii="仿宋_GB2312" w:hAnsi="Calibri" w:eastAsia="仿宋_GB2312" w:cs="Times New Roman"/>
          <w:sz w:val="30"/>
          <w:szCs w:val="30"/>
        </w:rPr>
        <w:t>1</w:t>
      </w:r>
      <w:r>
        <w:rPr>
          <w:rFonts w:ascii="仿宋_GB2312" w:hAnsi="Calibri" w:eastAsia="仿宋_GB2312" w:cs="Times New Roman"/>
          <w:sz w:val="30"/>
          <w:szCs w:val="30"/>
        </w:rPr>
        <w:t>0栋店面负</w:t>
      </w:r>
      <w:r>
        <w:rPr>
          <w:rFonts w:hint="eastAsia" w:ascii="仿宋_GB2312" w:hAnsi="Calibri" w:eastAsia="仿宋_GB2312" w:cs="Times New Roman"/>
          <w:sz w:val="30"/>
          <w:szCs w:val="30"/>
        </w:rPr>
        <w:t>1-</w:t>
      </w:r>
      <w:r>
        <w:rPr>
          <w:rFonts w:ascii="仿宋_GB2312" w:hAnsi="Calibri" w:eastAsia="仿宋_GB2312" w:cs="Times New Roman"/>
          <w:sz w:val="30"/>
          <w:szCs w:val="30"/>
        </w:rPr>
        <w:t>10室</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邮编：33000</w:t>
      </w:r>
      <w:r>
        <w:rPr>
          <w:rFonts w:ascii="仿宋_GB2312" w:eastAsia="仿宋_GB2312"/>
          <w:sz w:val="30"/>
          <w:szCs w:val="30"/>
        </w:rPr>
        <w:t>1</w:t>
      </w:r>
    </w:p>
    <w:p>
      <w:pPr>
        <w:spacing w:line="560" w:lineRule="exact"/>
        <w:ind w:firstLine="600" w:firstLineChars="200"/>
        <w:rPr>
          <w:rFonts w:ascii="仿宋_GB2312" w:eastAsia="仿宋_GB2312"/>
          <w:sz w:val="30"/>
          <w:szCs w:val="30"/>
        </w:rPr>
      </w:pPr>
      <w:r>
        <w:rPr>
          <w:rFonts w:hint="eastAsia" w:ascii="仿宋_GB2312" w:hAnsi="Calibri" w:eastAsia="仿宋_GB2312" w:cs="Times New Roman"/>
          <w:sz w:val="30"/>
          <w:szCs w:val="30"/>
        </w:rPr>
        <w:t>授权代表人：</w:t>
      </w:r>
      <w:r>
        <w:rPr>
          <w:rFonts w:hint="eastAsia" w:ascii="仿宋_GB2312" w:eastAsia="仿宋_GB2312"/>
          <w:sz w:val="30"/>
          <w:szCs w:val="30"/>
        </w:rPr>
        <w:t>付翠</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联系电话：</w:t>
      </w:r>
      <w:r>
        <w:rPr>
          <w:rFonts w:ascii="仿宋_GB2312" w:eastAsia="仿宋_GB2312"/>
          <w:sz w:val="30"/>
          <w:szCs w:val="30"/>
        </w:rPr>
        <w:t>13330123149</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被投诉人1:崇仁职业教育中心</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联系人：冯先生</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电话：</w:t>
      </w:r>
      <w:r>
        <w:rPr>
          <w:rFonts w:ascii="仿宋_GB2312" w:eastAsia="仿宋_GB2312"/>
          <w:sz w:val="30"/>
          <w:szCs w:val="30"/>
        </w:rPr>
        <w:t>18979410171</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被投诉人2:</w:t>
      </w:r>
      <w:r>
        <w:rPr>
          <w:rFonts w:hint="eastAsia"/>
        </w:rPr>
        <w:t xml:space="preserve"> </w:t>
      </w:r>
      <w:r>
        <w:rPr>
          <w:rFonts w:hint="eastAsia" w:ascii="仿宋_GB2312" w:eastAsia="仿宋_GB2312"/>
          <w:sz w:val="30"/>
          <w:szCs w:val="30"/>
        </w:rPr>
        <w:t>抚州市大地建设监理造价有限公司</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联系人：艾女士</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联系电话：</w:t>
      </w:r>
      <w:r>
        <w:rPr>
          <w:rFonts w:ascii="仿宋_GB2312" w:eastAsia="仿宋_GB2312"/>
          <w:sz w:val="30"/>
          <w:szCs w:val="30"/>
        </w:rPr>
        <w:t>18507949753</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投诉人对崇仁县职业教育中心高质量班班通、计算机、钢琴等设备采购项目（第二次）（项目编号：FZDD-CA-2021-56A）的质疑答复不满意，我局于</w:t>
      </w:r>
      <w:r>
        <w:rPr>
          <w:rFonts w:ascii="仿宋_GB2312" w:eastAsia="仿宋_GB2312"/>
          <w:sz w:val="30"/>
          <w:szCs w:val="30"/>
        </w:rPr>
        <w:t>2021</w:t>
      </w:r>
      <w:r>
        <w:rPr>
          <w:rFonts w:hint="eastAsia" w:ascii="仿宋_GB2312" w:eastAsia="仿宋_GB2312"/>
          <w:sz w:val="30"/>
          <w:szCs w:val="30"/>
        </w:rPr>
        <w:t>年</w:t>
      </w:r>
      <w:r>
        <w:rPr>
          <w:rFonts w:ascii="仿宋_GB2312" w:eastAsia="仿宋_GB2312"/>
          <w:sz w:val="30"/>
          <w:szCs w:val="30"/>
        </w:rPr>
        <w:t>11</w:t>
      </w:r>
      <w:r>
        <w:rPr>
          <w:rFonts w:hint="eastAsia" w:ascii="仿宋_GB2312" w:eastAsia="仿宋_GB2312"/>
          <w:sz w:val="30"/>
          <w:szCs w:val="30"/>
        </w:rPr>
        <w:t>月26日收到</w:t>
      </w:r>
      <w:r>
        <w:rPr>
          <w:rFonts w:hint="eastAsia" w:ascii="仿宋_GB2312" w:hAnsi="Calibri" w:eastAsia="仿宋_GB2312" w:cs="Times New Roman"/>
          <w:sz w:val="30"/>
          <w:szCs w:val="30"/>
        </w:rPr>
        <w:t>吉安市吉梵科技有限公司</w:t>
      </w:r>
      <w:r>
        <w:rPr>
          <w:rFonts w:hint="eastAsia" w:ascii="仿宋_GB2312" w:eastAsia="仿宋_GB2312"/>
          <w:sz w:val="30"/>
          <w:szCs w:val="30"/>
        </w:rPr>
        <w:t>投诉。经依法对本项目政府采购活动中的相关材料进行审查，现本投诉案已审查终结。</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一、投诉人</w:t>
      </w:r>
      <w:r>
        <w:rPr>
          <w:rFonts w:ascii="仿宋_GB2312" w:eastAsia="仿宋_GB2312"/>
          <w:b/>
          <w:sz w:val="30"/>
          <w:szCs w:val="30"/>
        </w:rPr>
        <w:t>称</w:t>
      </w:r>
      <w:r>
        <w:rPr>
          <w:rFonts w:hint="eastAsia" w:ascii="仿宋_GB2312" w:eastAsia="仿宋_GB2312"/>
          <w:sz w:val="30"/>
          <w:szCs w:val="30"/>
        </w:rPr>
        <w:t>：</w:t>
      </w:r>
    </w:p>
    <w:p>
      <w:pPr>
        <w:spacing w:line="560" w:lineRule="exact"/>
        <w:ind w:firstLine="600" w:firstLineChars="200"/>
        <w:rPr>
          <w:rFonts w:ascii="仿宋_GB2312" w:hAnsi="Verdana" w:eastAsia="仿宋_GB2312"/>
          <w:color w:val="000000"/>
          <w:sz w:val="30"/>
          <w:szCs w:val="30"/>
          <w:shd w:val="clear" w:color="auto" w:fill="FFFFFF"/>
        </w:rPr>
      </w:pPr>
      <w:r>
        <w:rPr>
          <w:rFonts w:hint="eastAsia" w:ascii="仿宋_GB2312" w:eastAsia="仿宋_GB2312"/>
          <w:sz w:val="30"/>
          <w:szCs w:val="30"/>
        </w:rPr>
        <w:t>投诉事项1:</w:t>
      </w:r>
      <w:r>
        <w:rPr>
          <w:rFonts w:hint="eastAsia" w:ascii="仿宋_GB2312" w:hAnsi="Verdana" w:eastAsia="仿宋_GB2312"/>
          <w:color w:val="000000"/>
          <w:sz w:val="30"/>
          <w:szCs w:val="30"/>
          <w:shd w:val="clear" w:color="auto" w:fill="FFFFFF"/>
        </w:rPr>
        <w:t xml:space="preserve"> 防腐试验（2 分）。 所投台式机通过盐雾试验（浓度为 5%氯化钠，PH 值为 6.5-7.2，温度 35±2℃，）连续喷雾能够达到4小时达到外观无明显腐蚀的得 2分。评审依据：提供 CMA 或CNAS认可国家权威检测机构中心出具的检测报告或认证证书复印件加盖制造商公章，未提供或提供不全及无效者不得分。</w:t>
      </w:r>
    </w:p>
    <w:p>
      <w:pPr>
        <w:spacing w:line="560" w:lineRule="exact"/>
        <w:ind w:firstLine="600" w:firstLineChars="200"/>
        <w:rPr>
          <w:rFonts w:ascii="仿宋_GB2312" w:hAnsi="Verdana" w:eastAsia="仿宋_GB2312"/>
          <w:color w:val="000000"/>
          <w:sz w:val="30"/>
          <w:szCs w:val="30"/>
          <w:shd w:val="clear" w:color="auto" w:fill="FFFFFF"/>
        </w:rPr>
      </w:pPr>
      <w:r>
        <w:rPr>
          <w:rFonts w:hint="eastAsia" w:ascii="仿宋_GB2312" w:eastAsia="仿宋_GB2312"/>
          <w:sz w:val="30"/>
          <w:szCs w:val="30"/>
        </w:rPr>
        <w:t>投诉事项</w:t>
      </w:r>
      <w:r>
        <w:rPr>
          <w:rFonts w:ascii="仿宋_GB2312" w:eastAsia="仿宋_GB2312"/>
          <w:sz w:val="30"/>
          <w:szCs w:val="30"/>
        </w:rPr>
        <w:t>2</w:t>
      </w:r>
      <w:r>
        <w:rPr>
          <w:rFonts w:hint="eastAsia" w:ascii="仿宋_GB2312" w:eastAsia="仿宋_GB2312"/>
          <w:sz w:val="30"/>
          <w:szCs w:val="30"/>
        </w:rPr>
        <w:t>:</w:t>
      </w:r>
      <w:r>
        <w:rPr>
          <w:rFonts w:hint="eastAsia"/>
        </w:rPr>
        <w:t xml:space="preserve"> </w:t>
      </w:r>
      <w:r>
        <w:rPr>
          <w:rFonts w:hint="eastAsia" w:ascii="仿宋_GB2312" w:hAnsi="Verdana" w:eastAsia="仿宋_GB2312"/>
          <w:color w:val="000000"/>
          <w:sz w:val="30"/>
          <w:szCs w:val="30"/>
          <w:shd w:val="clear" w:color="auto" w:fill="FFFFFF"/>
        </w:rPr>
        <w:t>高温低热试验（2分）。 所投产品通过高低温、湿热试验，达到工作温度上下限试验：-10℃±10℃和50℃±10℃（40小时）；贮存温度上下限试验：-40℃±2℃（50 小时）和 60℃±2℃（120 小时）；；工作恒定湿热40℃±2℃（93%±3%）RH、1小时； 贮存恒定湿热40℃±2℃（93%±3%）RH、120小时、在以上环境下能够正常进行工作的，得 1 分；工作温度上下限试验：-20℃±20℃和60℃±20℃（50 小时）；贮存温度上下限试验：-50℃±2℃（60 小时）和 65℃±2℃（150小时）；；工作恒定湿热 50℃±2℃（93%±3%）RH、2 小时； 贮存恒定湿热50℃±2℃（93%±3%）RH、150小时、在以上环境下能够正常进行工作的，全部满足得2分。 评审依据：提供 CMA 或CNAS认可国家权威检测机构中心出具的检测报告或认证证书复印件加盖制造商公章，未提供或提供不全及无效者不得分。</w:t>
      </w:r>
    </w:p>
    <w:p>
      <w:pPr>
        <w:spacing w:line="560" w:lineRule="exact"/>
        <w:ind w:firstLine="600" w:firstLineChars="200"/>
        <w:rPr>
          <w:rFonts w:ascii="仿宋_GB2312" w:hAnsi="Verdana" w:eastAsia="仿宋_GB2312"/>
          <w:color w:val="000000"/>
          <w:sz w:val="30"/>
          <w:szCs w:val="30"/>
          <w:shd w:val="clear" w:color="auto" w:fill="FFFFFF"/>
        </w:rPr>
      </w:pPr>
      <w:r>
        <w:rPr>
          <w:rFonts w:hint="eastAsia" w:ascii="仿宋_GB2312" w:eastAsia="仿宋_GB2312"/>
          <w:sz w:val="30"/>
          <w:szCs w:val="30"/>
        </w:rPr>
        <w:t>投诉事项</w:t>
      </w:r>
      <w:r>
        <w:rPr>
          <w:rFonts w:ascii="仿宋_GB2312" w:eastAsia="仿宋_GB2312"/>
          <w:sz w:val="30"/>
          <w:szCs w:val="30"/>
        </w:rPr>
        <w:t>3</w:t>
      </w:r>
      <w:r>
        <w:rPr>
          <w:rFonts w:hint="eastAsia" w:ascii="仿宋_GB2312" w:eastAsia="仿宋_GB2312"/>
          <w:sz w:val="30"/>
          <w:szCs w:val="30"/>
        </w:rPr>
        <w:t>:</w:t>
      </w:r>
      <w:r>
        <w:rPr>
          <w:rFonts w:hint="eastAsia" w:ascii="仿宋_GB2312" w:hAnsi="Verdana" w:eastAsia="仿宋_GB2312"/>
          <w:color w:val="000000"/>
          <w:sz w:val="30"/>
          <w:szCs w:val="30"/>
          <w:shd w:val="clear" w:color="auto" w:fill="FFFFFF"/>
        </w:rPr>
        <w:t xml:space="preserve"> 数据接口安全（1分）。所投电脑通过 YD/T1591-2009 移动通信终端电源适配器及充电/数据接口技术要求和测试方法，电脑 USB 数据接口输出电压范 4.65-5.20VDC、电流范围 400MA-1400MA。USB 数据接口无负载能量消耗小于 140MW，USB 数据接口接触电流不超过10UA的得0.5分,电脑USB数据接口输出电压范4.75-5.25VDC、电流范围500MA-1500MA。USB 数据接口无负载能量消耗小于150MW，USB 数据接口接触电流不超过 20UA，全部满足得1分。评审依据：提供 CMA 或CNAS认可国家权威检测机构中心出具的检测报告复印件加盖制造商公章，未提供或提供不全及无效者不得分。</w:t>
      </w:r>
    </w:p>
    <w:p>
      <w:pPr>
        <w:spacing w:line="560" w:lineRule="exact"/>
        <w:ind w:firstLine="600" w:firstLineChars="200"/>
        <w:rPr>
          <w:rFonts w:ascii="仿宋_GB2312" w:eastAsia="仿宋_GB2312"/>
          <w:sz w:val="30"/>
          <w:szCs w:val="30"/>
        </w:rPr>
      </w:pPr>
      <w:r>
        <w:rPr>
          <w:rFonts w:hint="eastAsia" w:ascii="仿宋_GB2312" w:hAnsi="Verdana" w:eastAsia="仿宋_GB2312"/>
          <w:color w:val="000000"/>
          <w:sz w:val="30"/>
          <w:szCs w:val="30"/>
        </w:rPr>
        <w:t>事实依据：完全符合该评分标准的品牌仅有华硕一家，具有严重的偏向性及排他性，且校园的应用场景并没有严苛的温度，湿度以及防腐性要求，制定该评分标准有明显品牌倾向性。</w:t>
      </w:r>
    </w:p>
    <w:p>
      <w:pPr>
        <w:spacing w:line="560" w:lineRule="exact"/>
        <w:ind w:firstLine="602" w:firstLineChars="200"/>
        <w:rPr>
          <w:rFonts w:ascii="仿宋_GB2312" w:eastAsia="仿宋_GB2312"/>
          <w:b/>
          <w:color w:val="FF0000"/>
          <w:sz w:val="30"/>
          <w:szCs w:val="30"/>
        </w:rPr>
      </w:pPr>
      <w:r>
        <w:rPr>
          <w:rFonts w:hint="eastAsia" w:ascii="仿宋_GB2312" w:eastAsia="仿宋_GB2312"/>
          <w:b/>
          <w:sz w:val="30"/>
          <w:szCs w:val="30"/>
        </w:rPr>
        <w:t>二、被投诉人称：</w:t>
      </w:r>
      <w:r>
        <w:rPr>
          <w:rFonts w:ascii="仿宋_GB2312" w:eastAsia="仿宋_GB2312"/>
          <w:b/>
          <w:color w:val="FF0000"/>
          <w:sz w:val="30"/>
          <w:szCs w:val="30"/>
        </w:rPr>
        <w:t xml:space="preserve"> </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关于投诉事项1：根据中国人民共和国国家质量监督检验检疫总局中国国家标注化管理委员会</w:t>
      </w:r>
      <w:r>
        <w:rPr>
          <w:rFonts w:ascii="仿宋_GB2312" w:eastAsia="仿宋_GB2312"/>
          <w:sz w:val="30"/>
          <w:szCs w:val="30"/>
        </w:rPr>
        <w:t>2008年5月19日发布的《GB T2423.17-2008盐雾试验方法行业标准》盐雾试验的目的是为了考核产品或金属材料的耐盐雾腐蚀质量，电子产品主要部件均是金属材质，一旦被腐蚀，机器不能正常运行，会造成教育事故，所以此项检验的重要性是能考</w:t>
      </w:r>
      <w:r>
        <w:rPr>
          <w:rFonts w:hint="eastAsia" w:ascii="仿宋_GB2312" w:eastAsia="仿宋_GB2312"/>
          <w:sz w:val="30"/>
          <w:szCs w:val="30"/>
        </w:rPr>
        <w:t>虑</w:t>
      </w:r>
      <w:r>
        <w:rPr>
          <w:rFonts w:ascii="仿宋_GB2312" w:eastAsia="仿宋_GB2312"/>
          <w:sz w:val="30"/>
          <w:szCs w:val="30"/>
        </w:rPr>
        <w:t>一个产品的稳定性之一。例如：电脑设备厂商，联想</w:t>
      </w:r>
      <w:r>
        <w:rPr>
          <w:rFonts w:hint="eastAsia" w:ascii="仿宋_GB2312" w:eastAsia="仿宋_GB2312"/>
          <w:sz w:val="30"/>
          <w:szCs w:val="30"/>
        </w:rPr>
        <w:t>、</w:t>
      </w:r>
      <w:r>
        <w:rPr>
          <w:rFonts w:ascii="仿宋_GB2312" w:eastAsia="仿宋_GB2312"/>
          <w:sz w:val="30"/>
          <w:szCs w:val="30"/>
        </w:rPr>
        <w:t>惠普</w:t>
      </w:r>
      <w:r>
        <w:rPr>
          <w:rFonts w:hint="eastAsia" w:ascii="仿宋_GB2312" w:eastAsia="仿宋_GB2312"/>
          <w:sz w:val="30"/>
          <w:szCs w:val="30"/>
        </w:rPr>
        <w:t>、</w:t>
      </w:r>
      <w:r>
        <w:rPr>
          <w:rFonts w:ascii="仿宋_GB2312" w:eastAsia="仿宋_GB2312"/>
          <w:sz w:val="30"/>
          <w:szCs w:val="30"/>
        </w:rPr>
        <w:t>戴尔</w:t>
      </w:r>
      <w:r>
        <w:rPr>
          <w:rFonts w:hint="eastAsia" w:ascii="仿宋_GB2312" w:eastAsia="仿宋_GB2312"/>
          <w:sz w:val="30"/>
          <w:szCs w:val="30"/>
        </w:rPr>
        <w:t>、</w:t>
      </w:r>
      <w:r>
        <w:rPr>
          <w:rFonts w:ascii="仿宋_GB2312" w:eastAsia="仿宋_GB2312"/>
          <w:sz w:val="30"/>
          <w:szCs w:val="30"/>
        </w:rPr>
        <w:t>华硕</w:t>
      </w:r>
      <w:r>
        <w:rPr>
          <w:rFonts w:hint="eastAsia" w:ascii="仿宋_GB2312" w:eastAsia="仿宋_GB2312"/>
          <w:sz w:val="30"/>
          <w:szCs w:val="30"/>
        </w:rPr>
        <w:t>和</w:t>
      </w:r>
      <w:r>
        <w:rPr>
          <w:rFonts w:ascii="仿宋_GB2312" w:eastAsia="仿宋_GB2312"/>
          <w:sz w:val="30"/>
          <w:szCs w:val="30"/>
        </w:rPr>
        <w:t>宏碁等做了此项测试，并</w:t>
      </w:r>
      <w:r>
        <w:rPr>
          <w:rFonts w:hint="eastAsia" w:ascii="仿宋_GB2312" w:eastAsia="仿宋_GB2312"/>
          <w:sz w:val="30"/>
          <w:szCs w:val="30"/>
        </w:rPr>
        <w:t>根据</w:t>
      </w:r>
      <w:r>
        <w:rPr>
          <w:rFonts w:ascii="仿宋_GB2312" w:eastAsia="仿宋_GB2312"/>
          <w:sz w:val="30"/>
          <w:szCs w:val="30"/>
        </w:rPr>
        <w:t>测试取得了对应的报告数据。不具备排他性，</w:t>
      </w:r>
      <w:r>
        <w:rPr>
          <w:rFonts w:hint="eastAsia" w:ascii="仿宋_GB2312" w:eastAsia="仿宋_GB2312"/>
          <w:sz w:val="30"/>
          <w:szCs w:val="30"/>
        </w:rPr>
        <w:t>故</w:t>
      </w:r>
      <w:r>
        <w:rPr>
          <w:rFonts w:ascii="仿宋_GB2312" w:eastAsia="仿宋_GB2312"/>
          <w:sz w:val="30"/>
          <w:szCs w:val="30"/>
        </w:rPr>
        <w:t>保留此条加分项。</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关于投诉事项</w:t>
      </w:r>
      <w:r>
        <w:rPr>
          <w:rFonts w:ascii="仿宋_GB2312" w:eastAsia="仿宋_GB2312"/>
          <w:sz w:val="30"/>
          <w:szCs w:val="30"/>
        </w:rPr>
        <w:t>2:</w:t>
      </w:r>
      <w:r>
        <w:rPr>
          <w:rFonts w:hint="eastAsia" w:ascii="仿宋_GB2312" w:eastAsia="仿宋_GB2312"/>
          <w:b/>
          <w:color w:val="FF0000"/>
          <w:sz w:val="30"/>
          <w:szCs w:val="30"/>
        </w:rPr>
        <w:t xml:space="preserve"> </w:t>
      </w:r>
      <w:r>
        <w:rPr>
          <w:rFonts w:hint="eastAsia" w:ascii="仿宋_GB2312" w:eastAsia="仿宋_GB2312"/>
          <w:sz w:val="30"/>
          <w:szCs w:val="30"/>
        </w:rPr>
        <w:t>根据中国人民共和国国家质量监督检验检疫总局中国国家标注化管理委员会2008年12月30日发布的《关于电工电子产品环境试验GB/T 2423.1-2008行业标准》，目的是确保电子产品在高温或低温的环境当中能够稳定运行，此项加分众多电子产品厂商均通过此项测试。例如：电脑设备厂商，联想、惠普、戴尔、华硕和宏碁等做了此项测试，并根据测试取得了对应的报告数据。此条为加分项，不具备排他性，故保留此条加分项。</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关于投诉事项</w:t>
      </w:r>
      <w:r>
        <w:rPr>
          <w:rFonts w:ascii="仿宋_GB2312" w:eastAsia="仿宋_GB2312"/>
          <w:sz w:val="30"/>
          <w:szCs w:val="30"/>
        </w:rPr>
        <w:t>3</w:t>
      </w:r>
      <w:r>
        <w:rPr>
          <w:rFonts w:hint="eastAsia" w:ascii="仿宋_GB2312" w:eastAsia="仿宋_GB2312"/>
          <w:sz w:val="30"/>
          <w:szCs w:val="30"/>
        </w:rPr>
        <w:t>：根据中华人民共和国工业和信息化部2010-1-1日发布的《中华人民工业国通信行业标准YD/1591-2009移动通信终端</w:t>
      </w:r>
      <w:bookmarkStart w:id="0" w:name="_GoBack"/>
      <w:bookmarkEnd w:id="0"/>
      <w:r>
        <w:rPr>
          <w:rFonts w:hint="eastAsia" w:ascii="仿宋_GB2312" w:eastAsia="仿宋_GB2312"/>
          <w:sz w:val="30"/>
          <w:szCs w:val="30"/>
        </w:rPr>
        <w:t>电源设配器及充电/数据接口技术要求和测试方法》行业规范标准，目的是防止数据电流过高导致USB损坏，同时保护外置设备数据安全，此项加分项众多品牌能够满足。例如：联想、惠普、华硕等品牌均做了此项测试，并根据测试取得了对应的报告数据，不具备排他性，故保留此条加分项。</w:t>
      </w:r>
    </w:p>
    <w:p>
      <w:pPr>
        <w:numPr>
          <w:ilvl w:val="0"/>
          <w:numId w:val="2"/>
        </w:numPr>
        <w:spacing w:line="560" w:lineRule="exact"/>
        <w:ind w:firstLine="602"/>
        <w:rPr>
          <w:rFonts w:ascii="仿宋_GB2312" w:eastAsia="仿宋_GB2312"/>
          <w:b/>
          <w:sz w:val="30"/>
          <w:szCs w:val="30"/>
        </w:rPr>
      </w:pPr>
      <w:r>
        <w:rPr>
          <w:rFonts w:hint="eastAsia" w:ascii="仿宋_GB2312" w:eastAsia="仿宋_GB2312"/>
          <w:b/>
          <w:sz w:val="30"/>
          <w:szCs w:val="30"/>
        </w:rPr>
        <w:t>调查事实及处理决定</w:t>
      </w:r>
    </w:p>
    <w:p>
      <w:pPr>
        <w:numPr>
          <w:ilvl w:val="0"/>
          <w:numId w:val="3"/>
        </w:numPr>
        <w:spacing w:line="560" w:lineRule="exact"/>
        <w:ind w:firstLine="602" w:firstLineChars="200"/>
        <w:rPr>
          <w:rFonts w:ascii="仿宋_GB2312" w:eastAsia="仿宋_GB2312"/>
          <w:b/>
          <w:sz w:val="30"/>
          <w:szCs w:val="30"/>
        </w:rPr>
      </w:pPr>
      <w:r>
        <w:rPr>
          <w:rFonts w:hint="eastAsia" w:ascii="仿宋_GB2312" w:eastAsia="仿宋_GB2312"/>
          <w:b/>
          <w:sz w:val="30"/>
          <w:szCs w:val="30"/>
        </w:rPr>
        <w:t>专家论证意见</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2021年12月21日本机关组织政府采购专家对投诉事项进行论证，专家通过查阅资料，就投诉的事项出具了专家意见：认为投诉事项1：相关电脑品牌的“防腐认证试验”，联想、惠普、宏</w:t>
      </w:r>
      <w:r>
        <w:rPr>
          <w:rFonts w:hint="eastAsia" w:ascii="宋体" w:hAnsi="宋体" w:eastAsia="宋体" w:cs="宋体"/>
          <w:sz w:val="30"/>
          <w:szCs w:val="30"/>
        </w:rPr>
        <w:t>碁</w:t>
      </w:r>
      <w:r>
        <w:rPr>
          <w:rFonts w:hint="eastAsia" w:ascii="仿宋_GB2312" w:hAnsi="仿宋_GB2312" w:eastAsia="仿宋_GB2312" w:cs="仿宋_GB2312"/>
          <w:sz w:val="30"/>
          <w:szCs w:val="30"/>
        </w:rPr>
        <w:t>、戴尔四种品牌电脑均具有防腐试验的检验证书。</w:t>
      </w:r>
      <w:r>
        <w:rPr>
          <w:rFonts w:hint="eastAsia" w:ascii="仿宋_GB2312" w:eastAsia="仿宋_GB2312"/>
          <w:sz w:val="30"/>
          <w:szCs w:val="30"/>
        </w:rPr>
        <w:t>投诉事项2：</w:t>
      </w:r>
      <w:r>
        <w:rPr>
          <w:rFonts w:hint="eastAsia" w:ascii="仿宋_GB2312" w:hAnsi="仿宋_GB2312" w:eastAsia="仿宋_GB2312" w:cs="仿宋_GB2312"/>
          <w:sz w:val="30"/>
          <w:szCs w:val="30"/>
        </w:rPr>
        <w:t>“高温低热”产品检验证书，联想、惠普、华硕、戴尔四种品牌电脑具有高温低热试验的检验证书。</w:t>
      </w:r>
      <w:r>
        <w:rPr>
          <w:rFonts w:hint="eastAsia" w:ascii="仿宋_GB2312" w:eastAsia="仿宋_GB2312"/>
          <w:sz w:val="30"/>
          <w:szCs w:val="30"/>
        </w:rPr>
        <w:t>投诉事项3：</w:t>
      </w:r>
      <w:r>
        <w:rPr>
          <w:rFonts w:hint="eastAsia" w:ascii="仿宋_GB2312" w:hAnsi="仿宋_GB2312" w:eastAsia="仿宋_GB2312" w:cs="仿宋_GB2312"/>
          <w:sz w:val="30"/>
          <w:szCs w:val="30"/>
        </w:rPr>
        <w:t>“移动通信终端电源适配器及充电</w:t>
      </w:r>
      <w:r>
        <w:rPr>
          <w:rFonts w:hint="eastAsia" w:ascii="仿宋_GB2312" w:eastAsia="仿宋_GB2312"/>
          <w:sz w:val="30"/>
          <w:szCs w:val="30"/>
        </w:rPr>
        <w:t>/数据接口”检验证书，联想、惠普、华硕三种品牌电脑具备该检验证书。专家一致认为上述3个投诉事项均满足三家或以上品牌参与了上述各项检测并获得对应证书。招标文件中涉及到这三类证书的加分项属于合理的梯度得分设置，不属于限制性条款。专家通过查证的相关检测证书后认为，并不是只有华硕一种品牌同时满足这三个条件，联想、惠普也同时满足这三个条件。另外，专家还就核心产品作了说明。认为确定核心产品目的是为了认定相同品牌供应商的有效投标人。本项目的投标人投标均属不同品牌，未确定核心产品并不影响本项目的评审。因此，专家一致建议对投诉人的投诉事项予以驳回。</w:t>
      </w:r>
    </w:p>
    <w:p>
      <w:pPr>
        <w:numPr>
          <w:ilvl w:val="0"/>
          <w:numId w:val="3"/>
        </w:numPr>
        <w:spacing w:line="560" w:lineRule="exact"/>
        <w:ind w:firstLine="602" w:firstLineChars="200"/>
        <w:rPr>
          <w:rFonts w:ascii="仿宋_GB2312" w:eastAsia="仿宋_GB2312"/>
          <w:b/>
          <w:sz w:val="30"/>
          <w:szCs w:val="30"/>
        </w:rPr>
      </w:pPr>
      <w:r>
        <w:rPr>
          <w:rFonts w:hint="eastAsia" w:ascii="仿宋_GB2312" w:eastAsia="仿宋_GB2312"/>
          <w:b/>
          <w:sz w:val="30"/>
          <w:szCs w:val="30"/>
        </w:rPr>
        <w:t>本机关处理决定</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对于上述投诉事项，本机关同意专家论证意见。招标文件要求电脑产品提供上述三类检测报告符合财政部第87号令第十一条第（二）款的规定，“采购标的需执行的国家相关标准、行业标准、地方标准或者其他标准、规范”；符合《政府采购法》第二十二条的规定，没有以不合理的条件对供应商实行差别待遇或者歧视待遇。</w:t>
      </w:r>
    </w:p>
    <w:p>
      <w:pPr>
        <w:pStyle w:val="7"/>
        <w:spacing w:line="560" w:lineRule="exact"/>
        <w:ind w:firstLine="600" w:firstLineChars="200"/>
        <w:jc w:val="both"/>
        <w:rPr>
          <w:rFonts w:hint="eastAsia" w:ascii="仿宋_GB2312" w:eastAsia="仿宋_GB2312"/>
          <w:b w:val="0"/>
          <w:bCs w:val="0"/>
          <w:sz w:val="30"/>
          <w:szCs w:val="30"/>
        </w:rPr>
      </w:pPr>
      <w:r>
        <w:rPr>
          <w:rFonts w:hint="eastAsia" w:ascii="仿宋_GB2312" w:eastAsia="仿宋_GB2312"/>
          <w:b w:val="0"/>
          <w:bCs w:val="0"/>
          <w:sz w:val="30"/>
          <w:szCs w:val="30"/>
        </w:rPr>
        <w:t>根据《政府采购质疑和投诉办法》（财政部令第94号）第二十九条第二款之规定，投诉事项缺乏事实依据，投诉事项不成立，驳回投诉。</w:t>
      </w:r>
    </w:p>
    <w:p>
      <w:pPr>
        <w:spacing w:line="560" w:lineRule="exact"/>
        <w:ind w:left="28" w:firstLine="602" w:firstLineChars="200"/>
        <w:rPr>
          <w:rFonts w:ascii="仿宋_GB2312" w:eastAsia="仿宋_GB2312"/>
          <w:b/>
          <w:sz w:val="30"/>
          <w:szCs w:val="30"/>
        </w:rPr>
      </w:pPr>
      <w:r>
        <w:rPr>
          <w:rFonts w:hint="eastAsia" w:ascii="仿宋_GB2312" w:eastAsia="仿宋_GB2312"/>
          <w:b/>
          <w:sz w:val="30"/>
          <w:szCs w:val="30"/>
        </w:rPr>
        <w:t>四、其他补事宜</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如对上述处理决定不服，可在收到本决定书起60日内进行行政复议或六个月内提起行政诉讼。</w:t>
      </w:r>
    </w:p>
    <w:p>
      <w:pPr>
        <w:spacing w:line="560" w:lineRule="exact"/>
        <w:ind w:firstLine="6000" w:firstLineChars="2000"/>
        <w:rPr>
          <w:rFonts w:ascii="仿宋_GB2312" w:eastAsia="仿宋_GB2312"/>
          <w:sz w:val="30"/>
          <w:szCs w:val="30"/>
        </w:rPr>
      </w:pPr>
    </w:p>
    <w:p>
      <w:pPr>
        <w:spacing w:line="560" w:lineRule="exact"/>
        <w:ind w:firstLine="5700" w:firstLineChars="1900"/>
        <w:rPr>
          <w:rFonts w:ascii="仿宋_GB2312" w:eastAsia="仿宋_GB2312"/>
          <w:sz w:val="30"/>
          <w:szCs w:val="30"/>
        </w:rPr>
      </w:pPr>
    </w:p>
    <w:p>
      <w:pPr>
        <w:pStyle w:val="7"/>
        <w:spacing w:line="560" w:lineRule="exact"/>
      </w:pPr>
    </w:p>
    <w:p>
      <w:pPr>
        <w:spacing w:line="560" w:lineRule="exact"/>
        <w:ind w:firstLine="5700" w:firstLineChars="1900"/>
        <w:rPr>
          <w:rFonts w:ascii="仿宋_GB2312" w:eastAsia="仿宋_GB2312"/>
          <w:sz w:val="30"/>
          <w:szCs w:val="30"/>
        </w:rPr>
      </w:pPr>
    </w:p>
    <w:p>
      <w:pPr>
        <w:spacing w:line="560" w:lineRule="exact"/>
        <w:ind w:firstLine="6300" w:firstLineChars="2100"/>
        <w:rPr>
          <w:rFonts w:ascii="仿宋_GB2312" w:eastAsia="仿宋_GB2312"/>
          <w:sz w:val="30"/>
          <w:szCs w:val="30"/>
        </w:rPr>
      </w:pPr>
      <w:r>
        <w:rPr>
          <w:rFonts w:hint="eastAsia" w:ascii="仿宋_GB2312" w:eastAsia="仿宋_GB2312"/>
          <w:sz w:val="30"/>
          <w:szCs w:val="30"/>
        </w:rPr>
        <w:t>崇仁县财政局</w:t>
      </w:r>
    </w:p>
    <w:p>
      <w:pPr>
        <w:spacing w:line="560" w:lineRule="exact"/>
        <w:ind w:firstLine="6000" w:firstLineChars="2000"/>
        <w:rPr>
          <w:rFonts w:ascii="仿宋_GB2312" w:eastAsia="仿宋_GB2312"/>
          <w:sz w:val="30"/>
          <w:szCs w:val="30"/>
        </w:rPr>
      </w:pPr>
      <w:r>
        <w:rPr>
          <w:rFonts w:hint="eastAsia" w:ascii="仿宋_GB2312" w:eastAsia="仿宋_GB2312"/>
          <w:sz w:val="30"/>
          <w:szCs w:val="30"/>
        </w:rPr>
        <w:t>20</w:t>
      </w:r>
      <w:r>
        <w:rPr>
          <w:rFonts w:ascii="仿宋_GB2312" w:eastAsia="仿宋_GB2312"/>
          <w:sz w:val="30"/>
          <w:szCs w:val="30"/>
        </w:rPr>
        <w:t>21</w:t>
      </w:r>
      <w:r>
        <w:rPr>
          <w:rFonts w:hint="eastAsia" w:ascii="仿宋_GB2312" w:eastAsia="仿宋_GB2312"/>
          <w:sz w:val="30"/>
          <w:szCs w:val="30"/>
        </w:rPr>
        <w:t>年</w:t>
      </w:r>
      <w:r>
        <w:rPr>
          <w:rFonts w:ascii="仿宋_GB2312" w:eastAsia="仿宋_GB2312"/>
          <w:sz w:val="30"/>
          <w:szCs w:val="30"/>
        </w:rPr>
        <w:t>12</w:t>
      </w:r>
      <w:r>
        <w:rPr>
          <w:rFonts w:hint="eastAsia" w:ascii="仿宋_GB2312" w:eastAsia="仿宋_GB2312"/>
          <w:sz w:val="30"/>
          <w:szCs w:val="30"/>
        </w:rPr>
        <w:t>月23日</w:t>
      </w:r>
    </w:p>
    <w:p>
      <w:pPr>
        <w:pStyle w:val="14"/>
        <w:spacing w:before="0" w:beforeAutospacing="0" w:after="0" w:afterAutospacing="0" w:line="560" w:lineRule="exact"/>
        <w:rPr>
          <w:rFonts w:ascii="仿宋_GB2312" w:hAnsi="仿宋" w:eastAsia="仿宋_GB2312" w:cs="楷体"/>
          <w:bCs/>
          <w:sz w:val="28"/>
          <w:szCs w:val="28"/>
        </w:rPr>
      </w:pPr>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B09B2"/>
    <w:multiLevelType w:val="singleLevel"/>
    <w:tmpl w:val="A35B09B2"/>
    <w:lvl w:ilvl="0" w:tentative="0">
      <w:start w:val="3"/>
      <w:numFmt w:val="chineseCounting"/>
      <w:suff w:val="nothing"/>
      <w:lvlText w:val="%1、"/>
      <w:lvlJc w:val="left"/>
      <w:pPr>
        <w:ind w:left="28"/>
      </w:pPr>
      <w:rPr>
        <w:rFonts w:hint="eastAsia"/>
      </w:rPr>
    </w:lvl>
  </w:abstractNum>
  <w:abstractNum w:abstractNumId="1">
    <w:nsid w:val="00000014"/>
    <w:multiLevelType w:val="multilevel"/>
    <w:tmpl w:val="00000014"/>
    <w:lvl w:ilvl="0" w:tentative="0">
      <w:start w:val="1"/>
      <w:numFmt w:val="decimal"/>
      <w:lvlText w:val="%1"/>
      <w:lvlJc w:val="left"/>
      <w:pPr>
        <w:tabs>
          <w:tab w:val="left" w:pos="432"/>
        </w:tabs>
        <w:ind w:left="432" w:hanging="432"/>
      </w:pPr>
      <w:rPr>
        <w:rFonts w:hint="eastAsia"/>
      </w:rPr>
    </w:lvl>
    <w:lvl w:ilvl="1" w:tentative="0">
      <w:start w:val="1"/>
      <w:numFmt w:val="decimal"/>
      <w:suff w:val="space"/>
      <w:lvlText w:val="第%2章 "/>
      <w:lvlJc w:val="right"/>
      <w:pPr>
        <w:ind w:left="4121" w:hanging="576"/>
      </w:pPr>
      <w:rPr>
        <w:rFonts w:hint="default" w:cs="Times New Roman"/>
        <w:bCs w:val="0"/>
        <w:i w:val="0"/>
        <w:iCs w:val="0"/>
        <w:caps w:val="0"/>
        <w:smallCaps w:val="0"/>
        <w:strike w:val="0"/>
        <w:dstrike w:val="0"/>
        <w:vanish w:val="0"/>
        <w:color w:val="000000"/>
        <w:spacing w:val="0"/>
        <w:kern w:val="0"/>
        <w:position w:val="0"/>
        <w:sz w:val="28"/>
        <w:u w:val="none"/>
        <w:vertAlign w:val="baseline"/>
      </w:rPr>
    </w:lvl>
    <w:lvl w:ilvl="2" w:tentative="0">
      <w:start w:val="1"/>
      <w:numFmt w:val="decimal"/>
      <w:lvlText w:val="2.%3"/>
      <w:lvlJc w:val="left"/>
      <w:pPr>
        <w:tabs>
          <w:tab w:val="left" w:pos="1080"/>
        </w:tabs>
        <w:ind w:left="1080" w:hanging="720"/>
      </w:pPr>
      <w:rPr>
        <w:rFonts w:hint="eastAsia"/>
      </w:rPr>
    </w:lvl>
    <w:lvl w:ilvl="3" w:tentative="0">
      <w:start w:val="1"/>
      <w:numFmt w:val="decimal"/>
      <w:pStyle w:val="2"/>
      <w:lvlText w:val="2.%4"/>
      <w:lvlJc w:val="left"/>
      <w:pPr>
        <w:tabs>
          <w:tab w:val="left" w:pos="1431"/>
        </w:tabs>
        <w:ind w:left="1431" w:hanging="864"/>
      </w:pPr>
      <w:rPr>
        <w:rFonts w:hint="eastAsia"/>
      </w:rPr>
    </w:lvl>
    <w:lvl w:ilvl="4" w:tentative="0">
      <w:start w:val="1"/>
      <w:numFmt w:val="decimal"/>
      <w:lvlText w:val="%2.%3.%4.%5"/>
      <w:lvlJc w:val="left"/>
      <w:pPr>
        <w:tabs>
          <w:tab w:val="left" w:pos="1008"/>
        </w:tabs>
        <w:ind w:left="1008" w:hanging="1008"/>
      </w:pPr>
      <w:rPr>
        <w:rFonts w:hint="eastAsia"/>
      </w:rPr>
    </w:lvl>
    <w:lvl w:ilvl="5" w:tentative="0">
      <w:start w:val="1"/>
      <w:numFmt w:val="decimal"/>
      <w:lvlText w:val="%1.%2.%3.%4.%5.%6"/>
      <w:lvlJc w:val="left"/>
      <w:pPr>
        <w:tabs>
          <w:tab w:val="left" w:pos="1294"/>
        </w:tabs>
        <w:ind w:left="1294"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D22D776"/>
    <w:multiLevelType w:val="singleLevel"/>
    <w:tmpl w:val="1D22D77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299D"/>
    <w:rsid w:val="00001E8A"/>
    <w:rsid w:val="00002E56"/>
    <w:rsid w:val="00061F32"/>
    <w:rsid w:val="000A3914"/>
    <w:rsid w:val="000C234C"/>
    <w:rsid w:val="000E32BF"/>
    <w:rsid w:val="001053C9"/>
    <w:rsid w:val="0010657A"/>
    <w:rsid w:val="00147C55"/>
    <w:rsid w:val="001922A8"/>
    <w:rsid w:val="001B3758"/>
    <w:rsid w:val="001C3542"/>
    <w:rsid w:val="001C379F"/>
    <w:rsid w:val="001D08AC"/>
    <w:rsid w:val="001D2A79"/>
    <w:rsid w:val="00207E52"/>
    <w:rsid w:val="00215D18"/>
    <w:rsid w:val="00221632"/>
    <w:rsid w:val="0024514E"/>
    <w:rsid w:val="002559EF"/>
    <w:rsid w:val="002639EA"/>
    <w:rsid w:val="002666F4"/>
    <w:rsid w:val="002770E9"/>
    <w:rsid w:val="002821F5"/>
    <w:rsid w:val="00297BB9"/>
    <w:rsid w:val="002A2B61"/>
    <w:rsid w:val="002B0E26"/>
    <w:rsid w:val="002B2C90"/>
    <w:rsid w:val="002C2550"/>
    <w:rsid w:val="002D49A1"/>
    <w:rsid w:val="002D4FEE"/>
    <w:rsid w:val="002D662A"/>
    <w:rsid w:val="002E3141"/>
    <w:rsid w:val="002F5E7A"/>
    <w:rsid w:val="00300CC5"/>
    <w:rsid w:val="003108FD"/>
    <w:rsid w:val="003114D5"/>
    <w:rsid w:val="0031315C"/>
    <w:rsid w:val="003221B4"/>
    <w:rsid w:val="00342B52"/>
    <w:rsid w:val="00363D81"/>
    <w:rsid w:val="00370904"/>
    <w:rsid w:val="00371909"/>
    <w:rsid w:val="00385987"/>
    <w:rsid w:val="003A039E"/>
    <w:rsid w:val="003B1DC5"/>
    <w:rsid w:val="003C3573"/>
    <w:rsid w:val="003D4AAF"/>
    <w:rsid w:val="00400C7A"/>
    <w:rsid w:val="004234D6"/>
    <w:rsid w:val="0044656E"/>
    <w:rsid w:val="004507E9"/>
    <w:rsid w:val="00464DE9"/>
    <w:rsid w:val="00533345"/>
    <w:rsid w:val="00550E34"/>
    <w:rsid w:val="00552331"/>
    <w:rsid w:val="005550AC"/>
    <w:rsid w:val="00576ECA"/>
    <w:rsid w:val="005818AA"/>
    <w:rsid w:val="005B2E3B"/>
    <w:rsid w:val="005D0BCD"/>
    <w:rsid w:val="005F1251"/>
    <w:rsid w:val="00616E3E"/>
    <w:rsid w:val="00623BD3"/>
    <w:rsid w:val="006509A5"/>
    <w:rsid w:val="00671FAC"/>
    <w:rsid w:val="00685B83"/>
    <w:rsid w:val="0068711E"/>
    <w:rsid w:val="00695852"/>
    <w:rsid w:val="006C0B31"/>
    <w:rsid w:val="006E08C3"/>
    <w:rsid w:val="006E794D"/>
    <w:rsid w:val="00703463"/>
    <w:rsid w:val="00703A72"/>
    <w:rsid w:val="00710CC2"/>
    <w:rsid w:val="007249F2"/>
    <w:rsid w:val="0072614C"/>
    <w:rsid w:val="00736271"/>
    <w:rsid w:val="00742A6A"/>
    <w:rsid w:val="00777BC0"/>
    <w:rsid w:val="007A27BA"/>
    <w:rsid w:val="007D0EC3"/>
    <w:rsid w:val="007F5B23"/>
    <w:rsid w:val="007F6EDB"/>
    <w:rsid w:val="008062B4"/>
    <w:rsid w:val="00817D82"/>
    <w:rsid w:val="00825DD9"/>
    <w:rsid w:val="00825FED"/>
    <w:rsid w:val="00836171"/>
    <w:rsid w:val="00845C8F"/>
    <w:rsid w:val="0086056E"/>
    <w:rsid w:val="00861546"/>
    <w:rsid w:val="008650F5"/>
    <w:rsid w:val="00872C32"/>
    <w:rsid w:val="00886CE3"/>
    <w:rsid w:val="008916CD"/>
    <w:rsid w:val="008B6343"/>
    <w:rsid w:val="008C5DF4"/>
    <w:rsid w:val="008D6288"/>
    <w:rsid w:val="00915615"/>
    <w:rsid w:val="0093265B"/>
    <w:rsid w:val="00942D2F"/>
    <w:rsid w:val="00956D13"/>
    <w:rsid w:val="00957DC9"/>
    <w:rsid w:val="00980942"/>
    <w:rsid w:val="00981F1B"/>
    <w:rsid w:val="00982331"/>
    <w:rsid w:val="00984312"/>
    <w:rsid w:val="009856F1"/>
    <w:rsid w:val="009A1433"/>
    <w:rsid w:val="009A2B62"/>
    <w:rsid w:val="009B2766"/>
    <w:rsid w:val="009C677B"/>
    <w:rsid w:val="009D6A3F"/>
    <w:rsid w:val="00A01E8F"/>
    <w:rsid w:val="00A21EAD"/>
    <w:rsid w:val="00A41CF3"/>
    <w:rsid w:val="00A46BE3"/>
    <w:rsid w:val="00A727B6"/>
    <w:rsid w:val="00A907F4"/>
    <w:rsid w:val="00AB1767"/>
    <w:rsid w:val="00AC474D"/>
    <w:rsid w:val="00B20C33"/>
    <w:rsid w:val="00B536F1"/>
    <w:rsid w:val="00B5458E"/>
    <w:rsid w:val="00B57507"/>
    <w:rsid w:val="00B6299D"/>
    <w:rsid w:val="00B65B69"/>
    <w:rsid w:val="00B66E72"/>
    <w:rsid w:val="00B75112"/>
    <w:rsid w:val="00B77C70"/>
    <w:rsid w:val="00BC34E4"/>
    <w:rsid w:val="00BD2B13"/>
    <w:rsid w:val="00BD330F"/>
    <w:rsid w:val="00BD68EC"/>
    <w:rsid w:val="00BE4BC0"/>
    <w:rsid w:val="00BF2526"/>
    <w:rsid w:val="00BF6FCD"/>
    <w:rsid w:val="00C23614"/>
    <w:rsid w:val="00C32CF5"/>
    <w:rsid w:val="00C42CCB"/>
    <w:rsid w:val="00C43330"/>
    <w:rsid w:val="00C45204"/>
    <w:rsid w:val="00C777B8"/>
    <w:rsid w:val="00C83EAE"/>
    <w:rsid w:val="00CC3783"/>
    <w:rsid w:val="00CC4226"/>
    <w:rsid w:val="00D24E20"/>
    <w:rsid w:val="00D335D4"/>
    <w:rsid w:val="00D80AF9"/>
    <w:rsid w:val="00D9554A"/>
    <w:rsid w:val="00DA291D"/>
    <w:rsid w:val="00DA368B"/>
    <w:rsid w:val="00DA609B"/>
    <w:rsid w:val="00DB0E22"/>
    <w:rsid w:val="00DB25F3"/>
    <w:rsid w:val="00DB5A3D"/>
    <w:rsid w:val="00DF40CD"/>
    <w:rsid w:val="00E1092A"/>
    <w:rsid w:val="00E12EB9"/>
    <w:rsid w:val="00E169A5"/>
    <w:rsid w:val="00E20F29"/>
    <w:rsid w:val="00E27196"/>
    <w:rsid w:val="00E42B2A"/>
    <w:rsid w:val="00E536B3"/>
    <w:rsid w:val="00E53F3C"/>
    <w:rsid w:val="00EA2315"/>
    <w:rsid w:val="00EB07CF"/>
    <w:rsid w:val="00EB7690"/>
    <w:rsid w:val="00EE562D"/>
    <w:rsid w:val="00EF425A"/>
    <w:rsid w:val="00F10302"/>
    <w:rsid w:val="00F33B43"/>
    <w:rsid w:val="00F402EC"/>
    <w:rsid w:val="00F4501A"/>
    <w:rsid w:val="00F500B1"/>
    <w:rsid w:val="00F50CDF"/>
    <w:rsid w:val="00F60C79"/>
    <w:rsid w:val="00F7088C"/>
    <w:rsid w:val="00F74ABE"/>
    <w:rsid w:val="00F851F2"/>
    <w:rsid w:val="00F94850"/>
    <w:rsid w:val="00FA0C7F"/>
    <w:rsid w:val="00FB071C"/>
    <w:rsid w:val="00FE71D1"/>
    <w:rsid w:val="00FF3D26"/>
    <w:rsid w:val="03CC6C5D"/>
    <w:rsid w:val="0AB13AE8"/>
    <w:rsid w:val="104A6DF5"/>
    <w:rsid w:val="12CC01AC"/>
    <w:rsid w:val="15A81931"/>
    <w:rsid w:val="15FF1F8C"/>
    <w:rsid w:val="168D57EA"/>
    <w:rsid w:val="178D7CBA"/>
    <w:rsid w:val="19CF1C75"/>
    <w:rsid w:val="1A902C72"/>
    <w:rsid w:val="1E532416"/>
    <w:rsid w:val="21DC7625"/>
    <w:rsid w:val="251010B2"/>
    <w:rsid w:val="25B05BD4"/>
    <w:rsid w:val="28140062"/>
    <w:rsid w:val="2B193EDC"/>
    <w:rsid w:val="30F54260"/>
    <w:rsid w:val="31530D8F"/>
    <w:rsid w:val="33B03454"/>
    <w:rsid w:val="397A17A6"/>
    <w:rsid w:val="3B822842"/>
    <w:rsid w:val="3D0020D1"/>
    <w:rsid w:val="479C3A77"/>
    <w:rsid w:val="5C010792"/>
    <w:rsid w:val="5D8B36D2"/>
    <w:rsid w:val="63686D00"/>
    <w:rsid w:val="6D4C69DA"/>
    <w:rsid w:val="759B3182"/>
    <w:rsid w:val="761C66E5"/>
    <w:rsid w:val="7AE24453"/>
    <w:rsid w:val="7DB0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0"/>
    <w:qFormat/>
    <w:uiPriority w:val="99"/>
    <w:pPr>
      <w:keepNext/>
      <w:keepLines/>
      <w:widowControl/>
      <w:spacing w:before="260" w:after="260" w:line="416" w:lineRule="auto"/>
      <w:jc w:val="left"/>
      <w:outlineLvl w:val="1"/>
    </w:pPr>
    <w:rPr>
      <w:rFonts w:ascii="Arial" w:hAnsi="Arial" w:eastAsia="黑体" w:cs="Times New Roman"/>
      <w:b/>
      <w:bCs/>
      <w:sz w:val="32"/>
      <w:szCs w:val="32"/>
    </w:rPr>
  </w:style>
  <w:style w:type="paragraph" w:styleId="2">
    <w:name w:val="heading 4"/>
    <w:basedOn w:val="1"/>
    <w:next w:val="1"/>
    <w:qFormat/>
    <w:uiPriority w:val="9"/>
    <w:pPr>
      <w:keepNext/>
      <w:keepLines/>
      <w:numPr>
        <w:ilvl w:val="3"/>
        <w:numId w:val="1"/>
      </w:numPr>
      <w:tabs>
        <w:tab w:val="left" w:pos="432"/>
        <w:tab w:val="left" w:pos="1330"/>
        <w:tab w:val="clear" w:pos="1431"/>
      </w:tabs>
      <w:spacing w:line="376" w:lineRule="auto"/>
      <w:ind w:left="1330"/>
      <w:outlineLvl w:val="3"/>
    </w:pPr>
    <w:rPr>
      <w:rFonts w:ascii="Arial" w:hAnsi="Arial" w:eastAsia="黑体"/>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uiPriority w:val="99"/>
    <w:pPr>
      <w:ind w:left="100" w:leftChars="2500"/>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left" w:pos="840"/>
        <w:tab w:val="right" w:leader="dot" w:pos="8730"/>
      </w:tabs>
      <w:spacing w:line="360" w:lineRule="auto"/>
      <w:jc w:val="center"/>
    </w:pPr>
    <w:rPr>
      <w:rFonts w:ascii="仿宋" w:hAnsi="仿宋" w:cs="微软雅黑"/>
      <w:b/>
      <w:bCs/>
      <w:caps/>
      <w:sz w:val="36"/>
      <w:szCs w:val="36"/>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19"/>
    <w:qFormat/>
    <w:uiPriority w:val="99"/>
    <w:pPr>
      <w:widowControl/>
      <w:spacing w:before="240" w:after="60" w:line="360" w:lineRule="auto"/>
      <w:jc w:val="center"/>
      <w:outlineLvl w:val="0"/>
    </w:pPr>
    <w:rPr>
      <w:rFonts w:ascii="Calibri Light" w:hAnsi="Calibri Light" w:eastAsia="宋体" w:cs="Times New Roman"/>
      <w:b/>
      <w:bCs/>
      <w:sz w:val="32"/>
      <w:szCs w:val="32"/>
    </w:rPr>
  </w:style>
  <w:style w:type="character" w:styleId="12">
    <w:name w:val="FollowedHyperlink"/>
    <w:basedOn w:val="11"/>
    <w:semiHidden/>
    <w:unhideWhenUsed/>
    <w:qFormat/>
    <w:uiPriority w:val="99"/>
    <w:rPr>
      <w:color w:val="800080" w:themeColor="followedHyperlink"/>
      <w:u w:val="single"/>
    </w:rPr>
  </w:style>
  <w:style w:type="character" w:styleId="13">
    <w:name w:val="Hyperlink"/>
    <w:basedOn w:val="11"/>
    <w:semiHidden/>
    <w:unhideWhenUsed/>
    <w:qFormat/>
    <w:uiPriority w:val="99"/>
    <w:rPr>
      <w:color w:val="0000FF"/>
      <w:u w:val="single"/>
    </w:rPr>
  </w:style>
  <w:style w:type="paragraph" w:customStyle="1" w:styleId="14">
    <w:name w:val="p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日期 Char"/>
    <w:basedOn w:val="11"/>
    <w:link w:val="4"/>
    <w:semiHidden/>
    <w:qFormat/>
    <w:uiPriority w:val="99"/>
  </w:style>
  <w:style w:type="paragraph" w:customStyle="1" w:styleId="16">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页眉 Char"/>
    <w:basedOn w:val="11"/>
    <w:link w:val="6"/>
    <w:qFormat/>
    <w:uiPriority w:val="99"/>
    <w:rPr>
      <w:sz w:val="18"/>
      <w:szCs w:val="18"/>
    </w:rPr>
  </w:style>
  <w:style w:type="character" w:customStyle="1" w:styleId="18">
    <w:name w:val="页脚 Char"/>
    <w:basedOn w:val="11"/>
    <w:link w:val="5"/>
    <w:qFormat/>
    <w:uiPriority w:val="99"/>
    <w:rPr>
      <w:sz w:val="18"/>
      <w:szCs w:val="18"/>
    </w:rPr>
  </w:style>
  <w:style w:type="character" w:customStyle="1" w:styleId="19">
    <w:name w:val="标题 Char"/>
    <w:basedOn w:val="11"/>
    <w:link w:val="9"/>
    <w:uiPriority w:val="99"/>
    <w:rPr>
      <w:rFonts w:ascii="Calibri Light" w:hAnsi="Calibri Light" w:eastAsia="宋体" w:cs="Times New Roman"/>
      <w:b/>
      <w:bCs/>
      <w:sz w:val="32"/>
      <w:szCs w:val="32"/>
    </w:rPr>
  </w:style>
  <w:style w:type="character" w:customStyle="1" w:styleId="20">
    <w:name w:val="标题 2 Char"/>
    <w:basedOn w:val="11"/>
    <w:link w:val="3"/>
    <w:qFormat/>
    <w:uiPriority w:val="99"/>
    <w:rPr>
      <w:rFonts w:ascii="Arial" w:hAnsi="Arial" w:eastAsia="黑体" w:cs="Times New Roman"/>
      <w:b/>
      <w:bCs/>
      <w:sz w:val="32"/>
      <w:szCs w:val="32"/>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5993DA-A173-4B11-B83D-C8AAA06EE7B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414</Words>
  <Characters>2364</Characters>
  <Lines>19</Lines>
  <Paragraphs>5</Paragraphs>
  <TotalTime>0</TotalTime>
  <ScaleCrop>false</ScaleCrop>
  <LinksUpToDate>false</LinksUpToDate>
  <CharactersWithSpaces>2773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2021-12-08T13:27:00Z</dcterms:created>
  <dc:creator>NTKO</dc:creator>
  <cp:lastModifiedBy>851127CJ</cp:lastModifiedBy>
  <cp:lastPrinted>2021-12-23T12:50:33Z</cp:lastPrinted>
  <dcterms:modified xsi:type="dcterms:W3CDTF">2021-12-23T12:50:43Z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6E817338C2B04B4EAC946C2B903793DA</vt:lpwstr>
  </property>
</Properties>
</file>